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ZifoG (Brandenburg) — Inkrafttreten</w:t>
      </w:r>
    </w:p>
    <w:p>
      <w:r>
        <w:rPr>
          <w:color w:val="555555"/>
          <w:sz w:val="18"/>
        </w:rPr>
        <w:t xml:space="preserve">Zukunftsinvestitionsfonds-Errichtungsgesetz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Dieses Gesetz tritt am Tag nach der Verkündung in Kraft.</w:t>
      </w:r>
    </w:p>
    <w:p>
      <w:r>
        <w:t xml:space="preserve">Einzelnorm</w:t>
      </w:r>
    </w:p>
    <w:p>
      <w:r>
        <w:t xml:space="preserve">Potsdam, den 13. Dezember 2019</w:t>
      </w:r>
    </w:p>
    <w:p>
      <w:r>
        <w:t xml:space="preserve">Die Präsidentin</w:t>
      </w:r>
    </w:p>
    <w:p>
      <w:r>
        <w:t xml:space="preserve">des Landtages Brandenburg</w:t>
      </w:r>
    </w:p>
    <w:p>
      <w:r>
        <w:t xml:space="preserve">Dr. Ulrike Liedtke</w:t>
      </w:r>
    </w:p>
    <w:p>
      <w:r>
        <w:rPr>
          <w:color w:val="555555"/>
          <w:sz w:val="17"/>
        </w:rPr>
        <w:t xml:space="preserve">Zitiervorschlag: § 7 ZifoG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https://recht.nulegal.eu/gesetze/ZifoG/7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