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ZifoG (Brandenburg) — Zuführung zum Sondervermögen</w:t>
      </w:r>
    </w:p>
    <w:p>
      <w:r>
        <w:rPr>
          <w:color w:val="555555"/>
          <w:sz w:val="18"/>
        </w:rPr>
        <w:t xml:space="preserve">Zukunftsinvestitionsfonds-Errichtungsgesetz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Sondervermögen wird aus Mitteln aus dem Landeshaushalt gebildet.</w:t>
      </w:r>
    </w:p>
    <w:p>
      <w:r>
        <w:t xml:space="preserve">(2) Die Zuführung erfolgt auf der Grundlage des jeweiligen Haushaltsgesetzes und des Haushaltsplans.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ZifoG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https://recht.nulegal.eu/gesetze/ZifoG/4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