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ZifoG (Brandenburg) — Zweck des Sondervermögens</w:t>
      </w:r>
    </w:p>
    <w:p>
      <w:r>
        <w:rPr>
          <w:color w:val="555555"/>
          <w:sz w:val="18"/>
        </w:rPr>
        <w:t xml:space="preserve">Zukunftsinvestitionsfonds-Errichtungsgesetz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Zweck des Sondervermögens ist die Finanzierung investiver Ausgaben des Landeshaushalts für Projekte in den Bereichen Regionalentwicklung, Klimaschutz, moderne Infrastruktur, Digitalisierung und Innovationen. Das Sondervermögen soll ergänzende Haushaltsmittel für Investitionen bereitstellen.</w:t>
      </w:r>
    </w:p>
    <w:p>
      <w:r>
        <w:t xml:space="preserve">(2) Die Mittel werden dabei ausschließlich für landespolitisch strategisch bedeutende Projekte, für die eine besonders günstige Relation zwischen dem verfolgten Zweck und den einzusetzenden Mitteln zu erwarten ist, zur Verfügung gestellt.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 ZifoG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https://recht.nulegal.eu/gesetze/ZifoG/2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