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ZifoG (Brandenburg) — Errichtung und Verwaltung</w:t>
      </w:r>
    </w:p>
    <w:p>
      <w:r>
        <w:rPr>
          <w:color w:val="555555"/>
          <w:sz w:val="18"/>
        </w:rPr>
        <w:t xml:space="preserve">Zukunftsinvestitionsfonds-Errichtungsgesetz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 Brandenburg errichtet unter dem Namen „Zukunftsinvestitionsfonds des Landes Brandenburg“ ein Sondervermögen gemäß § 26 Absatz 2 der Landeshaushaltsordnung, welches vom für Finanzen zuständigen Ministerium verwaltet wird.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ZifoG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https://recht.nulegal.eu/gesetze/ZifoG/1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