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ZertVerwV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Auf Grund des § 26a Absatz 2 des Wohnungseigentumsgesetzes in der Fassung der Bekanntmachung vom 12. Januar 2021 (BGBl. I S. 34)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