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ZertVerwV — Befreiung von der Prüfungspflicht</w:t>
      </w:r>
    </w:p>
    <w:p>
      <w:r>
        <w:rPr>
          <w:color w:val="555555"/>
          <w:sz w:val="18"/>
        </w:rPr>
        <w:t xml:space="preserve">Zertifizierter-Verwalter-Prüfungsverordnung</w:t>
      </w:r>
    </w:p>
    <w:p>
      <w:r>
        <w:rPr>
          <w:color w:val="555555"/>
          <w:sz w:val="18"/>
        </w:rPr>
        <w:t xml:space="preserve">Stand: 17.12.2021 (konsolidierte Textfassung, kein amtliches Inkrafttretensdatum)</w:t>
      </w:r>
    </w:p>
    <w:p>
      <w:r>
        <w:t xml:space="preserve">Einem zertifizierten Verwalter gleichgestellt ist, wer</w:t>
      </w:r>
    </w:p>
    <w:p>
      <w:pPr>
        <w:ind w:left="420"/>
      </w:pPr>
      <w:r>
        <w:t xml:space="preserve">1. die Befähigung zum Richteramt,</w:t>
      </w:r>
    </w:p>
    <w:p>
      <w:pPr>
        <w:ind w:left="420"/>
      </w:pPr>
      <w:r>
        <w:t xml:space="preserve">2. eine abgeschlossene Berufsausbildung zur Immobilienkauffrau oder zum Immobilienkaufmann, zur Kauffrau oder zum Kaufmann in der Grundstücks- und Wohnungswirtschaft,</w:t>
      </w:r>
    </w:p>
    <w:p>
      <w:pPr>
        <w:ind w:left="420"/>
      </w:pPr>
      <w:r>
        <w:t xml:space="preserve">3. einen anerkannten Abschluss Geprüfter Immobilienfachwirt/Geprüfte Immobilienfachwirtin oder</w:t>
      </w:r>
    </w:p>
    <w:p>
      <w:pPr>
        <w:ind w:left="420"/>
      </w:pPr>
      <w:r>
        <w:t xml:space="preserve">4. einen Hochschulabschluss mit immobilienwirtschaftlichem Schwerpunkt</w:t>
      </w:r>
    </w:p>
    <w:p>
      <w:r>
        <w:t xml:space="preserve">besitzt. Die in Satz 1 genannten Personen dürfen sich als zertifizierte Verwalter bezeichnen.</w:t>
      </w:r>
    </w:p>
    <w:p>
      <w:r>
        <w:rPr>
          <w:color w:val="555555"/>
          <w:sz w:val="17"/>
        </w:rPr>
        <w:t xml:space="preserve">Zitiervorschlag: § 7 ZertVerwV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https://recht.nulegal.eu/gesetze/ZertVerwV/7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