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ZerlG 1998 — Abrechnung der Zerlegung</w:t>
      </w:r>
    </w:p>
    <w:p>
      <w:r>
        <w:rPr>
          <w:color w:val="555555"/>
          <w:sz w:val="18"/>
        </w:rPr>
        <w:t xml:space="preserve">Zerlegungsgesetz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beauftragte Finanzamt rechnet mit Ablauf des Kalendervierteljahres, in dem die verbleibende Körperschaftsteuer abzüglich etwaiger niedergeschlagener oder erlassener Beträge getilgt oder erstattet worden ist, die Zerlegungsanteile ab. Der Zahlungs- oder Erstattungsanspruch gegenüber den anderen Ländern ergibt sich aus dem Unterschied zwischen dem jeweiligen Zerlegungsanteil und den Zahlungen oder Erstattungen auf Grund der Zerlegung der Körperschaftsteuer-Vorauszahlungen. Etwaige erlassene oder niedergeschlagene Beträge sind im Verhältnis der Zerlegungsanteile wie Vorauszahlungen abzurechnen.</w:t>
      </w:r>
    </w:p>
    <w:p>
      <w:r>
        <w:t xml:space="preserve">(2) Auf Teilzahlungen auf die verbleibende Körperschaftsteuer findet § 4 entsprechende Anwendung, sobald die Zahlungen mindestens 500 000 Euro betragen. Die Teilzahlungen werden bei der Abrechnung gemäß Absatz 1 wie Vorauszahlungen berücksichtigt.</w:t>
      </w:r>
    </w:p>
    <w:p>
      <w:r>
        <w:t xml:space="preserve">(3) In den Fällen, in denen die Zerlegung aufgehoben oder geändert wird, gilt Absatz 1 entsprechend.</w:t>
      </w:r>
    </w:p>
    <w:p>
      <w:r>
        <w:rPr>
          <w:color w:val="555555"/>
          <w:sz w:val="17"/>
        </w:rPr>
        <w:t xml:space="preserve">Zitiervorschlag: § 5 ZerlG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https://recht.nulegal.eu/gesetze/ZerlG%201998/5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ZerlG 1998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