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ZerlG 1998 — Zerlegung der Körperschaftsteuer-Vorauszahlungen</w:t>
      </w:r>
    </w:p>
    <w:p>
      <w:r>
        <w:rPr>
          <w:color w:val="555555"/>
          <w:sz w:val="18"/>
        </w:rPr>
        <w:t xml:space="preserve">Zerlegungsgesetz</w:t>
      </w:r>
    </w:p>
    <w:p>
      <w:r>
        <w:rPr>
          <w:color w:val="555555"/>
          <w:sz w:val="18"/>
        </w:rPr>
        <w:t xml:space="preserve">Stand: 10.06.2019 (konsolidierte Textfassung, kein amtliches Inkrafttretensdatum)</w:t>
      </w:r>
    </w:p>
    <w:p>
      <w:r>
        <w:t xml:space="preserve">(1) Sofern die Voraussetzungen für eine Zerlegung der Körperschaftsteuer vorliegen, zerlegt das beauftragte Finanzamt (§ 6 Absatz 1) die im Kalendervierteljahr eingehenden Körperschaftsteuer-Vorauszahlungen auf die beteiligten Länder.</w:t>
      </w:r>
    </w:p>
    <w:p>
      <w:r>
        <w:t xml:space="preserve">(2) Zerlegungsmaßstab ist grundsätzlich das Verhältnis der Zerlegungsanteile, die in dem letzten Zerlegungsbescheid festgesetzt worden sind. Liegt ein Zerlegungsbescheid noch nicht vor, so sind die Zerlegungsanteile auf Grund der letzten Zerlegungserklärung (§ 6 Abs. 7) oder auf Grund einer für diese Zwecke anzufordernden Zerlegungserklärung zu berechnen. Sollte das nach den vorstehenden Grundsätzen ermittelte Verhältnis der Zerlegungsanteile offensichtlich zu einem unzutreffenden Ergebnis führen, ist ein geeigneterer Zerlegungsmaßstab zu wählen.</w:t>
      </w:r>
    </w:p>
    <w:p>
      <w:r>
        <w:t xml:space="preserve">(3) Ist eine Körperschaftsteuer-Vorauszahlung erstattet worden, so ist der Erstattungsbetrag mit den in demselben Kalendervierteljahr eingegangenen Körperschaftsteuer-Vorauszahlungen für denselben Veranlagungszeitraum zu verrechnen. Der sich als Saldo ergebende Betrag ist nach den vorstehenden Grundsätzen zu zerlegen.</w:t>
      </w:r>
    </w:p>
    <w:p>
      <w:r>
        <w:rPr>
          <w:color w:val="555555"/>
          <w:sz w:val="17"/>
        </w:rPr>
        <w:t xml:space="preserve">Zitiervorschlag: § 4 ZerlG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https://recht.nulegal.eu/gesetze/ZerlG%201998/4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