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ZensVorbG 2021 — Bestand an Steuerungs- und Klassifizierungsmerkmalen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Datenbestand Steuerungs- und Klassifizierungsmerkmale werden für jede Anschrift Angaben zu folgenden Merkmalen gespeichert:</w:t>
      </w:r>
    </w:p>
    <w:p>
      <w:pPr>
        <w:ind w:left="420"/>
      </w:pPr>
      <w:r>
        <w:t xml:space="preserve">1. Stichprobenkennzeichen,</w:t>
      </w:r>
    </w:p>
    <w:p>
      <w:pPr>
        <w:ind w:left="420"/>
      </w:pPr>
      <w:r>
        <w:t xml:space="preserve">2. Kennzeichnung der Erhebungsstelle,</w:t>
      </w:r>
    </w:p>
    <w:p>
      <w:pPr>
        <w:ind w:left="420"/>
      </w:pPr>
      <w:r>
        <w:t xml:space="preserve">3. Sonderbereichskennzeichen,</w:t>
      </w:r>
    </w:p>
    <w:p>
      <w:pPr>
        <w:ind w:left="420"/>
      </w:pPr>
      <w:r>
        <w:t xml:space="preserve">4. gebäude- und wohnungsbezogene Angaben,</w:t>
      </w:r>
    </w:p>
    <w:p>
      <w:pPr>
        <w:ind w:left="420"/>
      </w:pPr>
      <w:r>
        <w:t xml:space="preserve">5. Personenzahl Hauptwohnung,</w:t>
      </w:r>
    </w:p>
    <w:p>
      <w:pPr>
        <w:ind w:left="420"/>
      </w:pPr>
      <w:r>
        <w:t xml:space="preserve">6. Personenzahl Nebenwohnung,</w:t>
      </w:r>
    </w:p>
    <w:p>
      <w:pPr>
        <w:ind w:left="420"/>
      </w:pPr>
      <w:r>
        <w:t xml:space="preserve">7. Anzahl der Wohnungen,</w:t>
      </w:r>
    </w:p>
    <w:p>
      <w:pPr>
        <w:ind w:left="420"/>
      </w:pPr>
      <w:r>
        <w:t xml:space="preserve">8. Anzahl der bewohnten Wohnungen.</w:t>
      </w:r>
    </w:p>
    <w:p>
      <w:r>
        <w:rPr>
          <w:color w:val="555555"/>
          <w:sz w:val="17"/>
        </w:rPr>
        <w:t xml:space="preserve">Zitiervorschlag: § 5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