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ZensVorbG 2021 — Anschriftenbestand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Anschriftenbestand werden zu jeder Anschrift Angaben zu folgenden Merkmalen gespeichert:</w:t>
      </w:r>
    </w:p>
    <w:p>
      <w:pPr>
        <w:ind w:left="420"/>
      </w:pPr>
      <w:r>
        <w:t xml:space="preserve">1. Postleitzahl,</w:t>
      </w:r>
    </w:p>
    <w:p>
      <w:pPr>
        <w:ind w:left="420"/>
      </w:pPr>
      <w:r>
        <w:t xml:space="preserve">2. Gemeindename und -schlüsselnummer,</w:t>
      </w:r>
    </w:p>
    <w:p>
      <w:pPr>
        <w:ind w:left="420"/>
      </w:pPr>
      <w:r>
        <w:t xml:space="preserve">3. Name und Schlüsselnummer des Orts- oder Gemeindeteils und des Bezirks,</w:t>
      </w:r>
    </w:p>
    <w:p>
      <w:pPr>
        <w:ind w:left="420"/>
      </w:pPr>
      <w:r>
        <w:t xml:space="preserve">4. Straßenname und -schlüsselnummer,</w:t>
      </w:r>
    </w:p>
    <w:p>
      <w:pPr>
        <w:ind w:left="420"/>
      </w:pPr>
      <w:r>
        <w:t xml:space="preserve">5. Hausnummer,</w:t>
      </w:r>
    </w:p>
    <w:p>
      <w:pPr>
        <w:ind w:left="420"/>
      </w:pPr>
      <w:r>
        <w:t xml:space="preserve">6. geografische Koordinaten einschließlich Qualitätskennzeichen,</w:t>
      </w:r>
    </w:p>
    <w:p>
      <w:pPr>
        <w:ind w:left="420"/>
      </w:pPr>
      <w:r>
        <w:t xml:space="preserve">7. Zuordnung der Anschrift zu kleinräumigen Gliederungen,</w:t>
      </w:r>
    </w:p>
    <w:p>
      <w:pPr>
        <w:ind w:left="420"/>
      </w:pPr>
      <w:r>
        <w:t xml:space="preserve">8. Wohnraumeigenschaft und</w:t>
      </w:r>
    </w:p>
    <w:p>
      <w:pPr>
        <w:ind w:left="420"/>
      </w:pPr>
      <w:r>
        <w:t xml:space="preserve">9. Gemeindegrößenklasse.</w:t>
      </w:r>
    </w:p>
    <w:p>
      <w:r>
        <w:rPr>
          <w:color w:val="555555"/>
          <w:sz w:val="17"/>
        </w:rPr>
        <w:t xml:space="preserve">Zitiervorschlag: § 4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