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ZensVorbG 2021 — Weitere Verwendung von Angaben aus dem Steuerungsregister</w:t>
      </w:r>
    </w:p>
    <w:p>
      <w:r>
        <w:rPr>
          <w:color w:val="555555"/>
          <w:sz w:val="18"/>
        </w:rPr>
        <w:t xml:space="preserve">Zensusvorbereitungsgesetz 2022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Folgende Angaben werden für die Auswertung, Analyse und Evaluierung des Zensus in einer Auswertungsdatenbank des Statistischen Bundesamtes geführt und den statistischen Ämtern der Länder für ihren jeweiligen Zuständigkeitsbereich bereitgestellt:</w:t>
      </w:r>
    </w:p>
    <w:p>
      <w:pPr>
        <w:ind w:left="420"/>
      </w:pPr>
      <w:r>
        <w:t xml:space="preserve">1. die Angaben aus dem Anschriftenbestand nach § 4 mit Ausnahme der Angaben zu den Nummern 4 bis 6 sowie</w:t>
      </w:r>
    </w:p>
    <w:p>
      <w:pPr>
        <w:ind w:left="420"/>
      </w:pPr>
      <w:r>
        <w:t xml:space="preserve">2. die Angaben aus dem Bestand an Steuerungs- und Klassifizierungsmerkmalen nach § 5 mit Ausnahme der zu § 12 Absatz 1 Nummer 3 übermittelten Angaben.</w:t>
      </w:r>
    </w:p>
    <w:p>
      <w:r>
        <w:t xml:space="preserve">Soweit es für methodische Untersuchungen, Analysen oder Auswertungen notwendig ist, ist den statistischen Ämtern der Länder bei Zustimmung der beteiligten Länder ein Zugriff über den jeweiligen Zuständigkeitsbereich hinaus zu gewähren.</w:t>
      </w:r>
    </w:p>
    <w:p>
      <w:r>
        <w:t xml:space="preserve">(2) Der Anschriftenbestand nach § 4 darf verwendet werden, um das dauerhafte Anschriftenregister nach § 13 Absatz 2 des Bundesstatistikgesetzes zu aktualisieren.</w:t>
      </w:r>
    </w:p>
    <w:p>
      <w:r>
        <w:rPr>
          <w:color w:val="555555"/>
          <w:sz w:val="17"/>
        </w:rPr>
        <w:t xml:space="preserve">Zitiervorschlag: § 15 ZensVorbG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https://recht.nulegal.eu/gesetze/ZensVorbG%202021/15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