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ZensVorbG 2021 — Zusammenführung und Überprüfung der Daten</w:t>
      </w:r>
    </w:p>
    <w:p>
      <w:r>
        <w:rPr>
          <w:color w:val="555555"/>
          <w:sz w:val="18"/>
        </w:rPr>
        <w:t xml:space="preserve">Zensusvorbereitungsgesetz 2022</w:t>
      </w:r>
    </w:p>
    <w:p>
      <w:r>
        <w:rPr>
          <w:color w:val="555555"/>
          <w:sz w:val="18"/>
        </w:rPr>
        <w:t xml:space="preserve">Stand: 10.06.2019 (konsolidierte Textfassung, kein amtliches Inkrafttretensdatum)</w:t>
      </w:r>
    </w:p>
    <w:p>
      <w:r>
        <w:t xml:space="preserve">(1) Die nach den §§ 8 und 9 übermittelten Daten werden vom Statistischen Bundesamt zusammengeführt und bilden den Grundbestand des Steuerungsregisters nach § 3.</w:t>
      </w:r>
    </w:p>
    <w:p>
      <w:r>
        <w:t xml:space="preserve">(2) Die statistischen Ämter der Länder haben auf den Datenbestand nach Absatz 1 Zugriff für ihren jeweiligen Zuständigkeitsbereich. Sie überprüfen den zusammengeführten Datenbestand für ihren jeweiligen Zuständigkeitsbereich unter Verwendung der nach § 11 Absatz 2 sowie nach § 12 Absatz 2 und 3 übermittelten und nach § 13 verwendbaren Angaben, und zwar insbesondere auf Korrektheit der Anschriften, auf Vorhandensein von Wohnraum und auf Schlüssigkeit der zusammengeführten Daten. Zu diesem Zweck dürfen die statistischen Ämter der Länder den in den §§ 9, 11 und 12 genannten Stellen Anschriftenbereiche übermitteln, zu denen Anhaltspunkte für unvollständige oder fehlerhafte Daten vorliegen. Die in den §§ 9, 11 und 12 genannten Stellen klären anhand der dort vorhandenen Daten, ob die ursprünglich übermittelten Daten vollzählig und vollständig waren. Sofern dies nicht der Fall ist, übermitteln sie den statistischen Ämtern der Länder nochmals Daten für die betreffenden Anschriftenbereiche. Soweit die Prüfungen nach den Sätzen 3 und 4 zu keinem Ergebnis führen, können die statistischen Ämter der Länder zur Klärung der verbleibenden Anschriften Begehungen durchführen. Eine Begehung im Sinne des Satzes 6 ist die Inaugenscheinnahme der Liegenschaft vom öffentlichen Straßenraum oder vom öffentlich zugänglichen Grundstücksteil. Das Ergebnis der Überprüfung wird von den statistischen Ämtern der Länder in das Steuerungsregister eingepflegt.</w:t>
      </w:r>
    </w:p>
    <w:p>
      <w:r>
        <w:rPr>
          <w:color w:val="555555"/>
          <w:sz w:val="17"/>
        </w:rPr>
        <w:t xml:space="preserve">Zitiervorschlag: § 10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