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ZensVorbG 2011 — Sondergebäude</w:t>
      </w:r>
    </w:p>
    <w:p>
      <w:r>
        <w:rPr>
          <w:color w:val="555555"/>
          <w:sz w:val="18"/>
        </w:rPr>
        <w:t xml:space="preserve">Zensusvorbereitungsgesetz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Vorbereitung der Erhebung von Personen in Sondergebäuden ergänzen die statistischen Ämter der Länder das Anschriften- und Gebäuderegister um folgende Merkmale:</w:t>
      </w:r>
    </w:p>
    <w:p>
      <w:pPr>
        <w:ind w:left="420"/>
      </w:pPr>
      <w:r>
        <w:t xml:space="preserve">1. Art der Einrichtung,</w:t>
      </w:r>
    </w:p>
    <w:p>
      <w:pPr>
        <w:ind w:left="420"/>
      </w:pPr>
      <w:r>
        <w:t xml:space="preserve">2. Name und Anschrift des Trägers, Eigentümers oder Verwalters der Unterkunft.</w:t>
      </w:r>
    </w:p>
    <w:p>
      <w:r>
        <w:t xml:space="preserve">(2) Die statistischen Ämter der Länder stellen die Vollzähligkeit der in den Zensus einzubeziehenden Sondergebäude und die Qualität der in Absatz 1 genannten Merkmale sicher.</w:t>
      </w:r>
    </w:p>
    <w:p>
      <w:r>
        <w:t xml:space="preserve">(3) Sondergebäude sind Gemeinschafts-, Anstalts- und Notunterkünfte, Wohnheime und Gebäude, die durch Angehörige ausländischer Streitkräfte, diplomatischer oder berufskonsularischer Vertretungen bewohnt werden. Unter Gemeinschafts- und Anstaltsunterkünften sind Einrichtungen zu verstehen, die in der Regel der längerfristigen Unterbringung und Versorgung einer Gruppe von Personen dienen. Als Notunterkünfte gelten auch Anschriften, an denen Wohnungslose gemeldet sind.</w:t>
      </w:r>
    </w:p>
    <w:p>
      <w:r>
        <w:rPr>
          <w:color w:val="555555"/>
          <w:sz w:val="17"/>
        </w:rPr>
        <w:t xml:space="preserve">Zitiervorschlag: § 9 ZensVorbG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https://recht.nulegal.eu/gesetze/ZensVorbG%202011/9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