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ZensVorbG 2011 — Ordnungsnummern</w:t>
      </w:r>
    </w:p>
    <w:p>
      <w:r>
        <w:rPr>
          <w:color w:val="555555"/>
          <w:sz w:val="18"/>
        </w:rPr>
        <w:t xml:space="preserve">Zensusvorbereitungsgesetz 2011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jede Anschrift, jedes Gebäude und jede Wohnung wird eine Ordnungsnummer vergeben. Die Ordnungsnummern werden mit gemeinde- und gebäudeübergreifender Eindeutigkeit von den statistischen Ämtern des Bundes und der Länder vergeben und geführt. Die Ordnungsnummer kann das Merkmal „Schlüssel der Straße“ nach § 2 Abs. 3 Nr. 11 enthalten.</w:t>
      </w:r>
    </w:p>
    <w:p>
      <w:r>
        <w:t xml:space="preserve">(2) Die Ordnungsnummern werden bei den Zusammenführungen nach § 7 sowie bei den beim Zensus erforderlichen Zusammenführungen der Daten der Registerauswertungen und der Daten der ergänzenden Befragungen verwendet.</w:t>
      </w:r>
    </w:p>
    <w:p>
      <w:r>
        <w:rPr>
          <w:color w:val="555555"/>
          <w:sz w:val="17"/>
        </w:rPr>
        <w:t xml:space="preserve">Zitiervorschlag: § 8 ZensVorbG 2011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https://recht.nulegal.eu/gesetze/ZensVorbG%202011/8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