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ZensVorbG 2011 — Umwelt- und wohnungsstatistische Stichprobenerhebungen</w:t>
      </w:r>
    </w:p>
    <w:p>
      <w:r>
        <w:rPr>
          <w:color w:val="555555"/>
          <w:sz w:val="18"/>
        </w:rPr>
        <w:t xml:space="preserve">Zensusvorbereitungsgesetz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Angaben nach § 2 Absatz 3 Nummer 1 bis 20, 26 und 29 dürfen in Verbindung mit den Angaben nach § 6 Absatz 2 Nummer 1 Buchstabe b bis f des Zensusgesetzes 2011 als Auswahlgrundlage für umwelt- und wohnungsstatistische Stichprobenerhebungen genutzt werden.</w:t>
      </w:r>
    </w:p>
    <w:p>
      <w:r>
        <w:t xml:space="preserve">(2) Die Angaben nach § 2 Absatz 3 Nummer 32 und 33 dürfen in Verbindung mit den nach Absatz 1 ausgewählten Wohnanschriften für die Vorbereitung und Durchführung der Stichprobenerhebungen verwendet werden.</w:t>
      </w:r>
    </w:p>
    <w:p>
      <w:r>
        <w:t xml:space="preserve">(3) Die Angaben nach Absatz 2 sind zu löschen, sobald sie für die Durchführung der Stichprobenerhebungen nicht mehr erforderlich sind, spätestens jedoch am 9. Mai 2017.</w:t>
      </w:r>
    </w:p>
    <w:p>
      <w:r>
        <w:rPr>
          <w:color w:val="555555"/>
          <w:sz w:val="17"/>
        </w:rPr>
        <w:t xml:space="preserve">Zitiervorschlag: § 16 ZensVorbG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https://recht.nulegal.eu/gesetze/ZensVorbG%202011/16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