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ZensVorbG 2011 — Löschung</w:t>
      </w:r>
    </w:p>
    <w:p>
      <w:r>
        <w:rPr>
          <w:color w:val="555555"/>
          <w:sz w:val="18"/>
        </w:rPr>
        <w:t xml:space="preserve">Zensusvorbereitungsgesetz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Familienname nach § 5 Abs. 1 Nr. 6 wird gelöscht, nachdem im Zuge der in § 7 geregelten Zusammenführungen und Auswertungen für jede Anschrift die Zahl der dort gemeldeten Personen mit unterschiedlichen Familiennamen festgestellt worden ist. Die Daten nach § 6 werden nach der Erstellung des Anschriften- und Gebäuderegisters gelöscht.</w:t>
      </w:r>
    </w:p>
    <w:p>
      <w:r>
        <w:t xml:space="preserve">(2) Die Stichprobenorganisationsdatei nach § 5 Abs. 4 wird zum frühestmöglichen Zeitpunkt, spätestens am Zensusstichtag gelöscht.</w:t>
      </w:r>
    </w:p>
    <w:p>
      <w:r>
        <w:t xml:space="preserve">(3) Das Anschriften- und Gebäuderegister nach § 2 wird zum frühestmöglichen Zeitpunkt nach Abschluss der Auswertung des Zensus, spätestens jedoch sechs Jahre nach dem Zensusstichtag, aufgelöst und die darin gespeicherten Daten gelöscht.</w:t>
      </w:r>
    </w:p>
    <w:p>
      <w:r>
        <w:rPr>
          <w:color w:val="555555"/>
          <w:sz w:val="17"/>
        </w:rPr>
        <w:t xml:space="preserve">Zitiervorschlag: § 15 ZensVorbG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https://recht.nulegal.eu/gesetze/ZensVorbG%202011/15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