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ZensVorbG 2011 — Nutzung allgemein zugänglicher Quellen</w:t>
      </w:r>
    </w:p>
    <w:p>
      <w:r>
        <w:rPr>
          <w:color w:val="555555"/>
          <w:sz w:val="18"/>
        </w:rPr>
        <w:t xml:space="preserve">Zensusvorbereitungsgesetz 2011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Zwecke dieses Gesetzes können die statistischen Ämter des Bundes und der Länder auch Angaben aus allgemein zugänglichen Quellen verwenden.</w:t>
      </w:r>
    </w:p>
    <w:p>
      <w:r>
        <w:rPr>
          <w:color w:val="555555"/>
          <w:sz w:val="17"/>
        </w:rPr>
        <w:t xml:space="preserve">Zitiervorschlag: § 12 ZensVorbG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https://recht.nulegal.eu/gesetze/ZensVorbG%202011/12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