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ZensVorbG 2011 — Geheimhaltung</w:t>
      </w:r>
    </w:p>
    <w:p>
      <w:r>
        <w:rPr>
          <w:color w:val="555555"/>
          <w:sz w:val="18"/>
        </w:rPr>
        <w:t xml:space="preserve">Zensusvorbereitungsgesetz 2011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Geheimhaltung der Einzelangaben über persönliche und sachliche Verhältnisse gilt § 16 des Bundesstatistikgesetzes.</w:t>
      </w:r>
    </w:p>
    <w:p>
      <w:r>
        <w:rPr>
          <w:color w:val="555555"/>
          <w:sz w:val="17"/>
        </w:rPr>
        <w:t xml:space="preserve">Zitiervorschlag: § 11 ZensVorbG 2011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https://recht.nulegal.eu/gesetze/ZensVorbG%202011/11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