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ZensVorbG 2011 — Anwendungsbereich</w:t>
      </w:r>
    </w:p>
    <w:p>
      <w:r>
        <w:rPr>
          <w:color w:val="555555"/>
          <w:sz w:val="18"/>
        </w:rPr>
        <w:t xml:space="preserve">Zensusvorbereitungsgesetz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den Aufbau eines Anschriften- und Gebäuderegisters zur Vorbereitung einer Volks-, Gebäude- und Wohnungszählung, die im Wege der Auswertung der in den Melderegistern und anderen Verwaltungsregistern gespeicherten Daten sowie im Wege ergänzender Befragungen (registergestützter Zensus) im Jahre 2011 durchgeführt werden soll.</w:t>
      </w:r>
    </w:p>
    <w:p>
      <w:r>
        <w:rPr>
          <w:color w:val="555555"/>
          <w:sz w:val="17"/>
        </w:rPr>
        <w:t xml:space="preserve">Zitiervorschlag: § 1 ZensVorbG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