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ZensV (Brandenburg) — Inkrafttreten, Außerkrafttreten</w:t>
      </w:r>
    </w:p>
    <w:p>
      <w:r>
        <w:rPr>
          <w:color w:val="555555"/>
          <w:sz w:val="18"/>
        </w:rPr>
        <w:t xml:space="preserve">Zensuskostenverordnung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01.09.2026 (konsolidierte Textfassung, kein amtliches Inkrafttretensdatum)</w:t>
      </w:r>
    </w:p>
    <w:p>
      <w:r>
        <w:t xml:space="preserve">Diese Verordnung tritt am Tag nach der Verkündung in Kraft und am 31. Dezember 2015 außer Kraft.</w:t>
      </w:r>
    </w:p>
    <w:p>
      <w:r>
        <w:t xml:space="preserve">Potsdam, den 2. März 2011</w:t>
      </w:r>
    </w:p>
    <w:p>
      <w:r>
        <w:t xml:space="preserve">Der Minister des Innern</w:t>
      </w:r>
    </w:p>
    <w:p>
      <w:r>
        <w:t xml:space="preserve">Dr. Dietmar Woidke</w:t>
      </w:r>
    </w:p>
    <w:p>
      <w:r>
        <w:rPr>
          <w:color w:val="555555"/>
          <w:sz w:val="17"/>
        </w:rPr>
        <w:t xml:space="preserve">Zitiervorschlag: § 4 ZensV (Brandenburg)</w:t>
      </w:r>
    </w:p>
    <w:p>
      <w:r>
        <w:rPr>
          <w:color w:val="555555"/>
          <w:sz w:val="17"/>
        </w:rPr>
        <w:t xml:space="preserve">Quelle: bravors, abgerufen 01.09.2026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https://recht.nulegal.eu/gesetze/ZensV/4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