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ZensV (Brandenburg) — Bemessungsgrundlagen für die Erstattung und Erstattungspauschalen</w:t>
      </w:r>
    </w:p>
    <w:p>
      <w:r>
        <w:rPr>
          <w:color w:val="555555"/>
          <w:sz w:val="18"/>
        </w:rPr>
        <w:t xml:space="preserve">Zensuskostenverordnung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mit dem Zensusausführungsgesetz verbundenen Mehrbelastungen werden den kreisfreien Städten und Landkreisen unbeschadet der Regelungen nach § 3 Absatz 2 und 3 gemäß dem in Anlage 2 jeweils ausgewiesenen Betrag erstattet. Bemessungsgrundlagen für die Erstattung der Mehraufwendungen an die in § 2 Absatz 1 des Brandenburgischen Zensusausführungsgesetzes genannten kommunalen Körperschaften in Verbindung mit den in Anlage 1 festgelegten örtlichen Erhebungsstellen sind:</w:t>
      </w:r>
    </w:p>
    <w:p>
      <w:r>
        <w:t xml:space="preserve">die Personalaufwendungen, die in den örtlichen Erhebungsstellen für die Erfüllung der Aufgaben nach § 5 des</w:t>
      </w:r>
    </w:p>
    <w:p>
      <w:r>
        <w:t xml:space="preserve">Brandenburgischen Zensusausführungsgesetzes</w:t>
      </w:r>
    </w:p>
    <w:p>
      <w:r>
        <w:t xml:space="preserve">entstehen, sowie die damit verbundenen allgemeinen Verwaltungskosten</w:t>
      </w:r>
    </w:p>
    <w:p>
      <w:r>
        <w:t xml:space="preserve">(Verwaltungsgemeinkosten),</w:t>
      </w:r>
    </w:p>
    <w:p>
      <w:r>
        <w:t xml:space="preserve">die Sachaufwendungen für die Einrichtungen und den Betrieb der örtlichen Erhebungsstellen und</w:t>
      </w:r>
    </w:p>
    <w:p>
      <w:r>
        <w:t xml:space="preserve">aufgabengebundene Sachaufwendungen als Aufwandsentschädigungen der ehrenamtlichen Erhebungsbeauftragten gemäß der Anzahl der im Rahmen</w:t>
      </w:r>
    </w:p>
    <w:p>
      <w:r>
        <w:t xml:space="preserve">der postalischen Gebäude- und Wohnungszählung nach § 6 des Zensusgesetzes 2011 bearbeiteten Anschriften,</w:t>
      </w:r>
    </w:p>
    <w:p>
      <w:r>
        <w:t xml:space="preserve">der Haushaltebefragung auf Stichprobenbasis nach § 7 Absatz 2 des Zensusgesetzes 2011 festgestellten Personen,</w:t>
      </w:r>
    </w:p>
    <w:p>
      <w:r>
        <w:t xml:space="preserve">der Erhebungen an Sonderanschriften nach § 8 des Zensusgesetzes 2011 in nicht sensiblen Sonderbereichen festgestellten Personen,</w:t>
      </w:r>
    </w:p>
    <w:p>
      <w:r>
        <w:t xml:space="preserve">der Erhebungen an Sonderanschriften nach § 8 des Zensusgesetzes 2011 bearbeiteten sensiblen Sonderanschriften,</w:t>
      </w:r>
    </w:p>
    <w:p>
      <w:r>
        <w:t xml:space="preserve">der Mehrfachfalluntersuchung nach § 15 des Zensusgesetzes 2011 bearbeiteten Anschriften,</w:t>
      </w:r>
    </w:p>
    <w:p>
      <w:r>
        <w:t xml:space="preserve">der Befragung zur Klärung von Unstimmigkeiten nach § 16 des Zensusgesetzes 2011 bearbeiteten Anschriften.</w:t>
      </w:r>
    </w:p>
    <w:p>
      <w:r>
        <w:t xml:space="preserve">(2) Die Aufwandsentschädigungen der ehrenamtlich tätigen Erhebungsbeauftragten nach Absatz 1 Nummer 3 betragen</w:t>
      </w:r>
    </w:p>
    <w:p>
      <w:r>
        <w:t xml:space="preserve">für die in den Buchstaben a und d bis f genannten Erhebungen 15 Euro je Anschrift sowie</w:t>
      </w:r>
    </w:p>
    <w:p>
      <w:r>
        <w:t xml:space="preserve">für die in den Buchstaben b und c genannten Erhebungen 7,50 Euro je Person für erfolgreich durchgeführte Erhebungen beziehungsweise 2,50 Euro für vergebliche Kontaktbemühungen sowie für Personen, die ihrer Auskunftspflicht auf schriftlichem oder elektronischem Wege nachkommen.</w:t>
      </w:r>
    </w:p>
    <w:p>
      <w:r>
        <w:rPr>
          <w:color w:val="555555"/>
          <w:sz w:val="17"/>
        </w:rPr>
        <w:t xml:space="preserve">Zitiervorschlag: § 2 ZensV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