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ZensTeG — Zuständigkeiten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nach § 2, § 3 Abs. 3, § 4 Abs. 3 und 4, §§ 6, 7 und 9 werden von den statistischen Ämtern der Länder durchgeführt.</w:t>
      </w:r>
    </w:p>
    <w:p>
      <w:r>
        <w:t xml:space="preserve">(2) Die Erhebung nach § 8 wird vom Statistischen Bundesamt durchgeführt.</w:t>
      </w:r>
    </w:p>
    <w:p>
      <w:r>
        <w:rPr>
          <w:color w:val="555555"/>
          <w:sz w:val="17"/>
        </w:rPr>
        <w:t xml:space="preserve">Zitiervorschlag: § 16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