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ZensTeG — Löschung</w:t>
      </w:r>
    </w:p>
    <w:p>
      <w:r>
        <w:rPr>
          <w:color w:val="555555"/>
          <w:sz w:val="18"/>
        </w:rPr>
        <w:t xml:space="preserve">Zensustestgesetz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Erhebungsunterlagen sowie die Angaben nach § 4 Abs. 2 und § 11 werden zum frühestmöglichen Zeitpunkt, spätestens zwei Jahre nach dem Stichtag 31. März 2002, vernichtet.</w:t>
      </w:r>
    </w:p>
    <w:p>
      <w:r>
        <w:t xml:space="preserve">(2) Die Telekommunikationsnummer nach § 4 Abs. 4 und die Hilfsmerkmale nach § 7 Nr. 2 Buchstabe c und d, § 9 Nr. 2 Buchstabe d werden nach Abschluss der Vollzähligkeits- und Vollständigkeitsprüfung aller Erhebungen gelöscht.</w:t>
      </w:r>
    </w:p>
    <w:p>
      <w:r>
        <w:t xml:space="preserve">(3) Die Hilfsmerkmale nach § 2 Abs. 2 Nr. 2 sowie nach § 3 Abs. 3 Nr. 2 werden nach Feststellung des tatsächlichen Wohnorts der betroffenen Personen, spätestens zwei Jahre nach dem Stichtag 31. März 2002, gelöscht.</w:t>
      </w:r>
    </w:p>
    <w:p>
      <w:r>
        <w:t xml:space="preserve">(4) Die Hilfsmerkmale Namen, Vornamen und Anschrift nach § 4 Abs. 3 Nr. 2 Buchstabe a und c, Abs. 4 in Verbindung mit Abs. 3 Nr. 2 Buchstabe a und c, § 6 Nr. 1 bis 3 und 11, § 7 Nr. 2 Buchstabe e, § 9 Nr. 2 Buchstabe a und alle Hilfsmerkmale nach § 8 Nr. 2 werden nach der Zusammenführung nach § 10, spätestens zwei Jahre nach dem Stichtag 31. März 2002, gelöscht. Entsprechendes gilt für das Hilfsmerkmal Tag der Geburt nach § 4 Abs. 3 Nr. 2 Buchstabe b und Abs. 4 in Verbindung mit Abs. 3 Nr. 2 Buchstabe b, soweit es sich um Personen handelt, die nicht in die Erhebungen nach §§ 6 und 9 einbezogen sind.</w:t>
      </w:r>
    </w:p>
    <w:p>
      <w:r>
        <w:t xml:space="preserve">(5) Die übrigen Hilfsmerkmale, mit Ausnahme der Hilfsmerkmale nach § 2 Abs. 3, dürfen gemeinsam mit den Erhebungsmerkmalen für methodische Untersuchungen und die Fortentwicklung eines registergestützten Zensuskonzeptes verwendet werden. Sie sind spätestens fünf Jahre nach dem Stichtag 31. März 2002 zu löschen.</w:t>
      </w:r>
    </w:p>
    <w:p>
      <w:r>
        <w:rPr>
          <w:color w:val="555555"/>
          <w:sz w:val="17"/>
        </w:rPr>
        <w:t xml:space="preserve">Zitiervorschlag: § 15 ZensTeG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https://recht.nulegal.eu/gesetze/ZensTeG/15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