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ZensG 2021 — Inkrafttreten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37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