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36a ZensG 2021 — Verordnungsermächtigung</w:t>
      </w:r>
    </w:p>
    <w:p>
      <w:r>
        <w:rPr>
          <w:color w:val="555555"/>
          <w:sz w:val="18"/>
        </w:rPr>
        <w:t xml:space="preserve">Zensusgesetz 2022</w:t>
      </w:r>
    </w:p>
    <w:p>
      <w:r>
        <w:rPr>
          <w:color w:val="555555"/>
          <w:sz w:val="18"/>
        </w:rPr>
        <w:t xml:space="preserve">Stand: 10.12.2020 (konsolidierte Textfassung, kein amtliches Inkrafttretensdatum)</w:t>
      </w:r>
    </w:p>
    <w:p>
      <w:r>
        <w:t xml:space="preserve">Die Bundesregierung wird ermächtigt, durch Rechtsverordnung mit Zustimmung des Bundesrates</w:t>
      </w:r>
    </w:p>
    <w:p>
      <w:pPr>
        <w:ind w:left="420"/>
      </w:pPr>
      <w:r>
        <w:t xml:space="preserve">1. den Zensusstichtag in § 1 Absatz 1 zu verschieben,</w:t>
      </w:r>
    </w:p>
    <w:p>
      <w:pPr>
        <w:ind w:left="420"/>
      </w:pPr>
      <w:r>
        <w:t xml:space="preserve">2. den Zeitpunkt in § 4 Absatz 1 zu ändern,</w:t>
      </w:r>
    </w:p>
    <w:p>
      <w:pPr>
        <w:ind w:left="420"/>
      </w:pPr>
      <w:r>
        <w:t xml:space="preserve">3. die Zeitpunkte der Übermittlungen der Meldebehörden nach § 5 Absatz 2 Nummer 1a, 2 und 4 zu ändern,</w:t>
      </w:r>
    </w:p>
    <w:p>
      <w:pPr>
        <w:ind w:left="420"/>
      </w:pPr>
      <w:r>
        <w:t xml:space="preserve">4. eine zusätzliche Übermittlung der Meldebehörden im Umfang der Übermittlung nach § 5 Absatz 2 Nummer 1a für den Fall festzulegen, dass die Übermittlung nach § 5 Absatz 2 Nummer 1a bereits termingerecht erfolgt ist und diese Übermittlung zu dem nach Nummer 1 in § 1 Absatz 1 neu festgelegten Zensusstichtag mehr als 15 Monate zurückliegen würde,</w:t>
      </w:r>
    </w:p>
    <w:p>
      <w:pPr>
        <w:ind w:left="420"/>
      </w:pPr>
      <w:r>
        <w:t xml:space="preserve">5. festzulegen, dass für die Stichprobenziehung nach § 12 Absatz 1 Satz 1 die nach Nummer 4 gegebenenfalls festgelegte zusätzliche Übermittlung der Meldebehörden anstelle der Übermittlung nach § 5 Absatz 2 Nummer 1a maßgeblich ist,</w:t>
      </w:r>
    </w:p>
    <w:p>
      <w:pPr>
        <w:ind w:left="420"/>
      </w:pPr>
      <w:r>
        <w:t xml:space="preserve">6. festzulegen, welcher Aktualisierungsstand des Steuerungsregisters nach § 3 des Zensusvorbereitungsgesetzes 2022 nach § 17 Absatz 1 Satz 3 dieses Gesetzes maßgeblich ist und</w:t>
      </w:r>
    </w:p>
    <w:p>
      <w:pPr>
        <w:ind w:left="420"/>
      </w:pPr>
      <w:r>
        <w:t xml:space="preserve">7. festzulegen, dass für die Mehrfachfallprüfung nach § 21 Absatz 1 die nach Nummer 4 gegebenenfalls festgelegte zusätzliche Übermittlung der Meldebehörden anstelle der Übermittlung nach § 5 Absatz 2 Nummer 1a maßgeblich ist,</w:t>
      </w:r>
    </w:p>
    <w:p>
      <w:r>
        <w:t xml:space="preserve">soweit dies erforderlich ist, um eine ordnungsgemäße Durchführung des Zensus 2022 zu gewährleisten.</w:t>
      </w:r>
    </w:p>
    <w:p>
      <w:r>
        <w:rPr>
          <w:color w:val="555555"/>
          <w:sz w:val="17"/>
        </w:rPr>
        <w:t xml:space="preserve">Zitiervorschlag: § 36a ZensG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https://recht.nulegal.eu/gesetze/ZensG%202021/36a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