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ZensG 2021 — Übermittlung von Tabellen und Einzelangaben an oberste Bundes- und Landesbehörden sowie an Statistikstellen der Gemeinden und Gemeindeverbände</w:t>
      </w:r>
    </w:p>
    <w:p>
      <w:r>
        <w:rPr>
          <w:color w:val="555555"/>
          <w:sz w:val="18"/>
        </w:rPr>
        <w:t xml:space="preserve">Zensusgesetz 2022</w:t>
      </w:r>
    </w:p>
    <w:p>
      <w:r>
        <w:rPr>
          <w:color w:val="555555"/>
          <w:sz w:val="18"/>
        </w:rPr>
        <w:t xml:space="preserve">Stand: 10.12.2019 (konsolidierte Textfassung, kein amtliches Inkrafttretensdatum)</w:t>
      </w:r>
    </w:p>
    <w:p>
      <w:r>
        <w:t xml:space="preserve">(1) Für die Verwendung gegenüber den gesetzgebenden Körperschaften und für Zwecke der Planung, jedoch nicht für die Regelung von Einzelfällen, dürfen die statistischen Ämter des Bundes und der Länder den obersten Bundes- oder Landesbehörden Tabellen mit statistischen Ergebnissen übermitteln, auch soweit Tabellenfelder nur einen einzigen Fall ausweisen.</w:t>
      </w:r>
    </w:p>
    <w:p>
      <w:r>
        <w:t xml:space="preserve">(2) Für ausschließlich kommunalstatistische Zwecke dürfen die statistischen Ämter des Bundes und der Länder den für statistische Aufgaben zuständigen Stellen der Gemeinden und Gemeindeverbände (Statistikstellen) auf Ersuchen für deren Zuständigkeitsbereich Einzelangaben zu den Erhebungsmerkmalen sowie zu den Hilfsmerkmalen „Straße“ und „Hausnummer“ oder nach Blockseiten zusammengefasste Einzelangaben übermitteln. Die Übermittlung ist nur zulässig, wenn das Statistikgeheimnis durch gesetzlich vorgeschriebene Maßnahmen, insbesondere zur räumlichen, organisatorischen und personellen Trennung der Statistikstellen von den für nichtstatistische Aufgaben zuständigen Stellen der Gemeinden und Gemeindeverbände, gewährleistet ist. Die Hilfsmerkmale sind zum frühestmöglichen Zeitpunkt, spätestens jedoch zwei Jahre nach Übermittlung, zu löschen.</w:t>
      </w:r>
    </w:p>
    <w:p>
      <w:r>
        <w:rPr>
          <w:color w:val="555555"/>
          <w:sz w:val="17"/>
        </w:rPr>
        <w:t xml:space="preserve">Zitiervorschlag: § 32 ZensG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https://recht.nulegal.eu/gesetze/ZensG%202021/32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