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ZensG 2021 — Trennung und Löschung der Hilfsmerkmale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Hilfsmerkmale sind von den Erhebungsmerkmalen zum frühestmöglichen Zeitpunkt zu trennen und gesondert aufzubewahren oder gesondert zu speichern. Sie sind, soweit sich nicht aus § 32 Absatz 2 und § 33 etwas anderes ergibt, zu löschen, sobald bei den statistischen Ämtern die Überprüfung der Erhebungs- und Hilfsmerkmale auf ihre Schlüssigkeit und Vollständigkeit und die Merkmalsgenerierung nach § 30 abgeschlossen sind. Sie sind spätestens vier Jahre nach dem Zensusstichtag zu löschen.</w:t>
      </w:r>
    </w:p>
    <w:p>
      <w:r>
        <w:t xml:space="preserve">(2) Für Personen, die in Gemeinschaftsunterkünften wohnen, werden die Hilfsmerkmale nach § 16 nach erfolgtem Abgleich unverzüglich gelöscht.</w:t>
      </w:r>
    </w:p>
    <w:p>
      <w:r>
        <w:t xml:space="preserve">(3) Die Erhebungsunterlagen sind nach Abschluss der Aufbereitung des Zensus, spätestens vier Jahre nach dem Zensusstichtag, zu vernichten.</w:t>
      </w:r>
    </w:p>
    <w:p>
      <w:r>
        <w:rPr>
          <w:color w:val="555555"/>
          <w:sz w:val="17"/>
        </w:rPr>
        <w:t xml:space="preserve">Zitiervorschlag: § 31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