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ZensG 2021 — Verarbeitung der Hilfsmerkmale zur Merkmalsgenerierung</w:t>
      </w:r>
    </w:p>
    <w:p>
      <w:r>
        <w:rPr>
          <w:color w:val="555555"/>
          <w:sz w:val="18"/>
        </w:rPr>
        <w:t xml:space="preserve">Zensusgesetz 2022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Die Hilfsmerkmale nach den §§ 6, 10 Absatz 2, § 13 Absatz 2 und § 16 dürfen verwendet werden, um neue Merkmale zu Typ und Größe der Familie und des Haushalts zu generieren und zu speichern.</w:t>
      </w:r>
    </w:p>
    <w:p>
      <w:r>
        <w:rPr>
          <w:color w:val="555555"/>
          <w:sz w:val="17"/>
        </w:rPr>
        <w:t xml:space="preserve">Zitiervorschlag: § 30 ZensG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https://recht.nulegal.eu/gesetze/ZensG%202021/30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