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ZensG 2021 — Aufgaben des Statistischen Bundesamts bei der Verarbeitung der Daten nach § 28</w:t>
      </w:r>
    </w:p>
    <w:p>
      <w:r>
        <w:rPr>
          <w:color w:val="555555"/>
          <w:sz w:val="18"/>
        </w:rPr>
        <w:t xml:space="preserve">Zensusgesetz 2022</w:t>
      </w:r>
    </w:p>
    <w:p>
      <w:r>
        <w:rPr>
          <w:color w:val="555555"/>
          <w:sz w:val="18"/>
        </w:rPr>
        <w:t xml:space="preserve">Stand: 10.12.2019 (konsolidierte Textfassung, kein amtliches Inkrafttretensdatum)</w:t>
      </w:r>
    </w:p>
    <w:p>
      <w:r>
        <w:t xml:space="preserve">(1) Das Statistische Bundesamt gleicht die Daten nach § 28 im Benehmen mit den statistischen Ämtern der Länder ab und prüft sie erhebungsteilübergreifend. Hierbei festgestellte Unstimmigkeiten werden vom Statistischen Bundesamt nach den im Zusammenwirken mit den statistischen Ämtern der Länder erstellten Regeln aufgeklärt und vom Statistischen Bundesamt gegebenenfalls maschinell korrigiert. Sofern hierfür manuelle Abgleiche oder gezielte Nacherhebungen der nicht plausiblen Erhebungseinheiten erforderlich sind, nehmen die statistischen Ämter der Länder diese für ihren jeweiligen Zuständigkeitsbereich vor und sind insoweit datenschutzrechtlich verantwortlich im Sinne des § 27.</w:t>
      </w:r>
    </w:p>
    <w:p>
      <w:r>
        <w:t xml:space="preserve">(2) Das Statistische Bundesamt gruppiert die Personendatensätze aus dem Datenbestand nach § 28 unter Rückgriff auf die in den Daten nach § 28 enthaltenen Angaben zu Haushalten und Familien und ordnet sie ungeachtet vom Wohnungsstatus der Personen Wohnungen zu.</w:t>
      </w:r>
    </w:p>
    <w:p>
      <w:r>
        <w:t xml:space="preserve">(3) Zum Zwecke der Erstellung von Qualitätsberichten gleicht das Statistische Bundesamt die Ergebnisse der Wiederholungsbefragungen nach § 22 mit den Daten nach § 28 ab.</w:t>
      </w:r>
    </w:p>
    <w:p>
      <w:r>
        <w:rPr>
          <w:color w:val="555555"/>
          <w:sz w:val="17"/>
        </w:rPr>
        <w:t xml:space="preserve">Zitiervorschlag: § 29 ZensG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https://recht.nulegal.eu/gesetze/ZensG%202021/29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