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ZensG 2011 — Erhebungen an Anschriften mit Sonderbereichen</w:t>
      </w:r>
    </w:p>
    <w:p>
      <w:r>
        <w:rPr>
          <w:color w:val="555555"/>
          <w:sz w:val="18"/>
        </w:rPr>
        <w:t xml:space="preserve">Zensusgesetz 2011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statistischen Ämter der Länder stellen für alle Anschriften mit Sonderbereichen die dort wohnenden Personen fest. Dafür werden für jede dort wohnende Person folgende Daten erhoben:</w:t>
      </w:r>
    </w:p>
    <w:p>
      <w:pPr>
        <w:ind w:left="420"/>
      </w:pPr>
      <w:r>
        <w:t xml:space="preserve">1. als Erhebungsmerkmale:</w:t>
      </w:r>
    </w:p>
    <w:p>
      <w:pPr>
        <w:ind w:left="780"/>
      </w:pPr>
      <w:r>
        <w:t xml:space="preserve">a) Monat und Jahr der Geburt,</w:t>
      </w:r>
    </w:p>
    <w:p>
      <w:pPr>
        <w:ind w:left="780"/>
      </w:pPr>
      <w:r>
        <w:t xml:space="preserve">b) Geschlecht,</w:t>
      </w:r>
    </w:p>
    <w:p>
      <w:pPr>
        <w:ind w:left="780"/>
      </w:pPr>
      <w:r>
        <w:t xml:space="preserve">c) Familienstand,</w:t>
      </w:r>
    </w:p>
    <w:p>
      <w:pPr>
        <w:ind w:left="780"/>
      </w:pPr>
      <w:r>
        <w:t xml:space="preserve">d) Staatsangehörigkeiten,</w:t>
      </w:r>
    </w:p>
    <w:p>
      <w:pPr>
        <w:ind w:left="780"/>
      </w:pPr>
      <w:r>
        <w:t xml:space="preserve">e) Tag des Bezugs der Wohnung oder des Beginns der Unterbringung,</w:t>
      </w:r>
    </w:p>
    <w:p>
      <w:pPr>
        <w:ind w:left="780"/>
      </w:pPr>
      <w:r>
        <w:t xml:space="preserve">f) Geburtsstaat,</w:t>
      </w:r>
    </w:p>
    <w:p>
      <w:pPr>
        <w:ind w:left="780"/>
      </w:pPr>
      <w:r>
        <w:t xml:space="preserve">g) ob die Person unter der Anschrift in einem Haushalt nach § 2 Absatz 1 Satz 4 bis 6 lebt,</w:t>
      </w:r>
    </w:p>
    <w:p>
      <w:pPr>
        <w:ind w:left="780"/>
      </w:pPr>
      <w:r>
        <w:t xml:space="preserve">h) Wohnungsstatus,</w:t>
      </w:r>
    </w:p>
    <w:p>
      <w:pPr>
        <w:ind w:left="420"/>
      </w:pPr>
      <w:r>
        <w:t xml:space="preserve">2. als Hilfsmerkmale:</w:t>
      </w:r>
    </w:p>
    <w:p>
      <w:pPr>
        <w:ind w:left="780"/>
      </w:pPr>
      <w:r>
        <w:t xml:space="preserve">a) Familienname, frühere Namen und Vornamen,</w:t>
      </w:r>
    </w:p>
    <w:p>
      <w:pPr>
        <w:ind w:left="780"/>
      </w:pPr>
      <w:r>
        <w:t xml:space="preserve">b) Tag der Geburt (Tag ohne Monats- und Jahresangabe),</w:t>
      </w:r>
    </w:p>
    <w:p>
      <w:pPr>
        <w:ind w:left="780"/>
      </w:pPr>
      <w:r>
        <w:t xml:space="preserve">c) Geburtsort.</w:t>
      </w:r>
    </w:p>
    <w:p>
      <w:r>
        <w:t xml:space="preserve">(2) Für die nach Absatz 1 festgestellten Personen findet ein Abgleich mit den nach § 3 Absatz 1 übermittelten Daten statt. Die statistischen Ämter der Länder klären anhand der Merkmale nach § 8 Absatz 1, an welchem Ort die Personen mit Haupt- und Nebenwohnung zu zählen sind. Eine Rückmeldung an die Meldebehörden ist unzulässig.</w:t>
      </w:r>
    </w:p>
    <w:p>
      <w:r>
        <w:t xml:space="preserve">(3) Für Personen in Sonderbereichen, die nicht in einem Haushalt nach Absatz 1 Satz 2 Nummer 1 Buchstabe g wohnen, werden die Hilfsmerkmale nach Absatz 1 Nummer 2 nach erfolgtem Abgleich unverzüglich gelöscht.</w:t>
      </w:r>
    </w:p>
    <w:p>
      <w:r>
        <w:t xml:space="preserve">(4) In sensiblen Sonderbereichen werden bei der Gebäude- und Wohnungszählung nur die Erhebungsmerkmale nach § 6 Absatz 2 und als Hilfsmerkmale die Familiennamen, die Vornamen, die Anschriften und die Telekommunikationsnummern der Auskunftspflichtigen erhoben.</w:t>
      </w:r>
    </w:p>
    <w:p>
      <w:r>
        <w:t xml:space="preserve">(5) In sensiblen Sonderbereichen darf keine Haushaltsstichprobe nach § 7 durchgeführt werden. In den übrigen nach § 7 ausgewählten Sonderbereichen werden die dort wohnenden Personen zu den Merkmalen nach § 7 Absatz 4 und 5 befragt.</w:t>
      </w:r>
    </w:p>
    <w:p>
      <w:r>
        <w:rPr>
          <w:color w:val="555555"/>
          <w:sz w:val="17"/>
        </w:rPr>
        <w:t xml:space="preserve">Zitiervorschlag: § 8 ZensG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https://recht.nulegal.eu/gesetze/ZensG%202011/8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