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24 ZensG 2011 — Kosten der Übermittlungen an das Statistische Bundesamt</w:t>
      </w:r>
    </w:p>
    <w:p>
      <w:r>
        <w:rPr>
          <w:color w:val="555555"/>
          <w:sz w:val="18"/>
        </w:rPr>
        <w:t xml:space="preserve">Zensusgesetz 2011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Kosten der Datenübermittlungen an das Statistische Bundesamt werden nicht erstattet.</w:t>
      </w:r>
    </w:p>
    <w:p>
      <w:r>
        <w:rPr>
          <w:color w:val="555555"/>
          <w:sz w:val="17"/>
        </w:rPr>
        <w:t xml:space="preserve">Zitiervorschlag: § 24 ZensG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https://recht.nulegal.eu/gesetze/ZensG%202011/24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24 ZensG 2011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