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ZensG 2011 — Bereitstellung von Auswahlgrundlagen für Gebäude-, Wohnungs- und Bevölkerungsstichproben</w:t>
      </w:r>
    </w:p>
    <w:p>
      <w:r>
        <w:rPr>
          <w:color w:val="555555"/>
          <w:sz w:val="18"/>
        </w:rPr>
        <w:t xml:space="preserve">Zensusgesetz 2011</w:t>
      </w:r>
    </w:p>
    <w:p>
      <w:r>
        <w:rPr>
          <w:color w:val="555555"/>
          <w:sz w:val="18"/>
        </w:rPr>
        <w:t xml:space="preserve">Stand: 10.06.2019 (konsolidierte Textfassung, kein amtliches Inkrafttretensdatum)</w:t>
      </w:r>
    </w:p>
    <w:p>
      <w:r>
        <w:t xml:space="preserve">Als Grundlage für Gebäude-, Wohnungs- und Bevölkerungsstichproben, die als Bundes- oder Landesstatistiken durchgeführt werden, dürfen die statistischen Ämter des Bundes und der Länder die Zahl der Wohnungen und Personen, die Art des Sonderbereichs, die Anschrift des Gebäudes oder der Unterkunft zur Ermittlung von Auswahlbezirken im Geltungsbereich dieses Gesetzes nach mathematischen Zufallsverfahren nutzen. Diese Merkmale sind gesondert aufzubewahren. Die Auswahlbezirke für die Stichproben werden auf 20 Prozent begrenzt. Die Merkmale für diese Auswahlbezirke sind unverzüglich nach Zweckerfüllung zu löschen, spätestens zu dem Zeitpunkt, zu dem entsprechende Auswahlgrundlagen aus einer künftigen Zählung zur Verfügung stehen. Die Merkmale für die nicht benötigten 80 Prozent der Auswahlbezirke sind unverzüglich nach Festlegung der Auswahlbezirke nach Satz 3, spätestens vier Jahre nach dem Berichtszeitpunkt zu löschen.</w:t>
      </w:r>
    </w:p>
    <w:p>
      <w:r>
        <w:rPr>
          <w:color w:val="555555"/>
          <w:sz w:val="17"/>
        </w:rPr>
        <w:t xml:space="preserve">Zitiervorschlag: § 23 ZensG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https://recht.nulegal.eu/gesetze/ZensG%202011/23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