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ZensG 2011 — Information der Öffentlichkeit</w:t>
      </w:r>
    </w:p>
    <w:p>
      <w:r>
        <w:rPr>
          <w:color w:val="555555"/>
          <w:sz w:val="18"/>
        </w:rPr>
        <w:t xml:space="preserve">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statistischen Ämter des Bundes und der Länder richten im Internet unter www.zensus2011.de eine gemeinsame Internetseite ein, um die Bevölkerung über den Zensus zu informieren.</w:t>
      </w:r>
    </w:p>
    <w:p>
      <w:r>
        <w:t xml:space="preserve">(2) Die Bundesregierung gibt die Merkmalsausprägungen der Erhebungsmerkmale im elektronischen Bundesanzeiger sowie auf der Internetseite nach Absatz 1 bekannt.</w:t>
      </w:r>
    </w:p>
    <w:p>
      <w:r>
        <w:rPr>
          <w:color w:val="555555"/>
          <w:sz w:val="17"/>
        </w:rPr>
        <w:t xml:space="preserve">Zitiervorschlag: § 21 ZensG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https://recht.nulegal.eu/gesetze/ZensG%202011/21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