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ZensG 2011 — Löschung</w:t>
      </w:r>
    </w:p>
    <w:p>
      <w:r>
        <w:rPr>
          <w:color w:val="555555"/>
          <w:sz w:val="18"/>
        </w:rPr>
        <w:t xml:space="preserve">Zensusgesetz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Hilfsmerkmale sind von den Erhebungsmerkmalen zum frühestmöglichen Zeitpunkt zu trennen und gesondert aufzubewahren. Sie sind, soweit sich nicht aus § 22 Absatz 2 und § 23 etwas anderes ergibt, zu löschen, sobald bei den statistischen Ämtern die Überprüfung der Erhebungs- und Hilfsmerkmale auf ihre Schlüssigkeit und Vollständigkeit abgeschlossen ist. Sie sind spätestens vier Jahre nach dem Berichtszeitpunkt zu löschen.</w:t>
      </w:r>
    </w:p>
    <w:p>
      <w:r>
        <w:t xml:space="preserve">(2) Die Erhebungsunterlagen sind nach Abschluss der Aufbereitung des Zensus, spätestens vier Jahre nach dem Berichtszeitpunkt zu vernichten.</w:t>
      </w:r>
    </w:p>
    <w:p>
      <w:r>
        <w:rPr>
          <w:color w:val="555555"/>
          <w:sz w:val="17"/>
        </w:rPr>
        <w:t xml:space="preserve">Zitiervorschlag: § 19 ZensG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https://recht.nulegal.eu/gesetze/ZensG%202011/19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