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ZensG 2011 — Ordnungsnummern</w:t>
      </w:r>
    </w:p>
    <w:p>
      <w:r>
        <w:rPr>
          <w:color w:val="555555"/>
          <w:sz w:val="18"/>
        </w:rPr>
        <w:t xml:space="preserve">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 Anschrift, jedes Gebäude, jede Wohnung, jeden Haushalt und jede Person wird von den statistischen Ämtern des Bundes und der Länder eine Ordnungsnummer vergeben und geführt, die gemeinde- und gebäudeübergreifend sein kann.</w:t>
      </w:r>
    </w:p>
    <w:p>
      <w:r>
        <w:t xml:space="preserve">(2) Die Ordnungsnummern dürfen bei den Zusammenführungen nach § 9 verwendet werden.</w:t>
      </w:r>
    </w:p>
    <w:p>
      <w:r>
        <w:t xml:space="preserve">(3) Die Ordnungsnummern dürfen zusammen mit den Erhebungsmerkmalen gespeichert werden. Sie sind nach Abschluss der Aufbereitung des Zensus, spätestens jedoch vier Jahre nach dem Berichtszeitpunkt zu löschen.</w:t>
      </w:r>
    </w:p>
    <w:p>
      <w:r>
        <w:rPr>
          <w:color w:val="555555"/>
          <w:sz w:val="17"/>
        </w:rPr>
        <w:t xml:space="preserve">Zitiervorschlag: § 13 ZensG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https://recht.nulegal.eu/gesetze/ZensG%202011/13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