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ZeLBV (Brandenburg) — Satzung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Nähere Regelungen, insbesondere zur Organisation des Zentrums für</w:t>
      </w:r>
    </w:p>
    <w:p>
      <w:r>
        <w:t xml:space="preserve">Lehrerbildung und Bildungsforschung und zur Zusammenarbeit mit den Fakultäten,</w:t>
      </w:r>
    </w:p>
    <w:p>
      <w:r>
        <w:t xml:space="preserve">erlässt das nach der Grundordnung zuständige Organ der Universität Potsdam durch</w:t>
      </w:r>
    </w:p>
    <w:p>
      <w:r>
        <w:t xml:space="preserve">Satzung, die der Genehmigung der für die Hochschulen zuständigen obersten</w:t>
      </w:r>
    </w:p>
    <w:p>
      <w:r>
        <w:t xml:space="preserve">Landesbehörde bedarf.</w:t>
      </w:r>
    </w:p>
    <w:p>
      <w:r>
        <w:rPr>
          <w:color w:val="555555"/>
          <w:sz w:val="17"/>
        </w:rPr>
        <w:t xml:space="preserve">Zitiervorschlag: § 8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