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ZahntechMstrV 2025</w:t>
      </w:r>
    </w:p>
    <w:p>
      <w:r>
        <w:rPr>
          <w:color w:val="555555"/>
          <w:sz w:val="18"/>
        </w:rPr>
        <w:t xml:space="preserve">Zahntechnikermeisterverordnung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Auf Grund des § 45 Absatz 1 der Handwerksordnung in der Fassung der Bekanntmachung vom 24. September 1998 (BGBl. I S. 3074; 2006 I S. 2095), der zuletzt durch Artikel 2 Nummer 1 des Gesetzes vom 9. November 2022 (BGBl. I S. 2009) geändert worden ist,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ZahntechMstrV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https://recht.nulegal.eu/gesetze/ZahntechMstrV%202025/eingangsformel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