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ZahntechMstrV 2025 — Gewichtung, Bestehen der Prüfung in Teil I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Das Meisterprüfungsprojekt und das Fachgespräch werden gesondert bewertet. Bei der Berechnung des Gesamtergebnisses der Prüfung in Teil I der Meisterprüfung nach Maßgabe der Vorschriften der Meisterprüfungsverfahrensverordnung ist die Bewertung des Meisterprüfungsprojekts und die Bewertung des Fachgesprächs im Verhältnis 3:1 zu gewichten.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 und das Fachgespräch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