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ZahntechMstrV 2025 — Gegenstand</w:t>
      </w:r>
    </w:p>
    <w:p>
      <w:r>
        <w:rPr>
          <w:color w:val="555555"/>
          <w:sz w:val="18"/>
        </w:rPr>
        <w:t xml:space="preserve">Zahntechnikermeisterverordnung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Diese Verordnung regelt das Meisterprüfungsberufsbild, die in der Prüfung in den Teilen I und II der Meisterprüfung zu stellenden Anforderungen sowie die Bestimmungen zur Durchführung der Meisterprüfung im Zahntechniker-Handwerk.</w:t>
      </w:r>
    </w:p>
    <w:p>
      <w:r>
        <w:rPr>
          <w:color w:val="555555"/>
          <w:sz w:val="17"/>
        </w:rPr>
        <w:t xml:space="preserve">Zitiervorschlag: § 1 ZahntechMstrV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https://recht.nulegal.eu/gesetze/ZahntechMstrV%202025/1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