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ZahntechAusbV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25 Absatz 1 Satz 1 in Verbindung mit § 26 Absatz 1 und 2 Satz 1 Nummer 2 der Handwerksordnung in der Fassung der Bekanntmachung vom 24. September 1998 (BGBl. I S. 3074; 2006 I S. 2095), von denen § 25 Absatz 1 Satz 1 zuletzt durch Artikel 283 der Verordnung vom 31. August 2015 (BGBl. I S. 1474) geändert worden ist und § 26 Absatz 1 Satz 1 zuletzt durch Artikel 2 Nummer 2 des Gesetzes vom 12. Dezember 2019 (BGBl. I S. 2522) geändert worden ist,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