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ZahntechAusbV — Inhalt des Teiles 2</w:t>
      </w:r>
    </w:p>
    <w:p>
      <w:r>
        <w:rPr>
          <w:color w:val="555555"/>
          <w:sz w:val="18"/>
        </w:rPr>
        <w:t xml:space="preserve">Zahntechnikerausbildungsverordnung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Teil 2 der Gesellenprüfung erstreckt sich auf</w:t>
      </w:r>
    </w:p>
    <w:p>
      <w:pPr>
        <w:ind w:left="420"/>
      </w:pPr>
      <w:r>
        <w:t xml:space="preserve">1. die im Ausbildungsrahmenplan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t xml:space="preserve">(2) In Teil 2 der Gesellenprüfung sollen Fertigkeiten, Kenntnisse und Fähigkeiten, die bereits Gegenstand des Teiles 1 der Gesellenprüfung waren, nur insoweit einbezogen werden, als es für die Feststellung der beruflichen Handlungsfähigkeit erforderlich ist.</w:t>
      </w:r>
    </w:p>
    <w:p>
      <w:r>
        <w:rPr>
          <w:color w:val="555555"/>
          <w:sz w:val="17"/>
        </w:rPr>
        <w:t xml:space="preserve">Zitiervorschlag: § 12 ZahntechAusbV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https://recht.nulegal.eu/gesetze/ZahntechAusbV/12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