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3a ZahnFinAnpG — Sonderkündigungsrecht</w:t>
      </w:r>
    </w:p>
    <w:p>
      <w:r>
        <w:rPr>
          <w:color w:val="555555"/>
          <w:sz w:val="18"/>
        </w:rPr>
        <w:t xml:space="preserve">Gesetz zur Anpassung der Finanzierung von Zahnersatz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Versicherte, die auf Grund von § 58 Abs. 2 des Fünften Buches Sozialgesetzbuch in der Fassung des GKV-Modernisierungsgesetzes eine private Versicherung abgeschlossen haben, können den Vertrag mit sofortiger Wirkung zum Ende des Monats, in dem die Kündigung dem Versicherer zugeht, kündigen.</w:t>
      </w:r>
    </w:p>
    <w:p>
      <w:r>
        <w:rPr>
          <w:color w:val="555555"/>
          <w:sz w:val="17"/>
        </w:rPr>
        <w:t xml:space="preserve">Zitiervorschlag: Art 3a ZahnFinAnpG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https://recht.nulegal.eu/gesetze/ZahnFinAnpG/3a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