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ZahlPrüfbV</w:t>
      </w:r>
    </w:p>
    <w:p>
      <w:r>
        <w:rPr>
          <w:color w:val="555555"/>
          <w:sz w:val="18"/>
        </w:rPr>
        <w:t xml:space="preserve">Zahlungsinstituts-Prüfungsberichtsverordnung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18 Absatz 3 Satz 1 des Zahlungsdiensteaufsichtsgesetzes vom 25. Juni 2009 (BGBl. I S. 1506) verordnet das Bundesministerium der Finanzen im Einvernehmen mit dem Bundesministerium der Justiz nach Anhörung der Deutschen Bundesbank:</w:t>
      </w:r>
    </w:p>
    <w:p>
      <w:r>
        <w:rPr>
          <w:color w:val="555555"/>
          <w:sz w:val="17"/>
        </w:rPr>
        <w:t xml:space="preserve">Zitiervorschlag: Eingangsformel ZahlPrüfbV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https://recht.nulegal.eu/gesetze/ZahlPr%C3%BCfbV/eingangsformel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