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ZahlPrüfbV — Zweigniederlassungen</w:t>
      </w:r>
    </w:p>
    <w:p>
      <w:r>
        <w:rPr>
          <w:color w:val="555555"/>
          <w:sz w:val="18"/>
        </w:rPr>
        <w:t xml:space="preserve">Zahlungsinstituts-Prüfungsberichtsverordnung</w:t>
      </w:r>
    </w:p>
    <w:p>
      <w:r>
        <w:rPr>
          <w:color w:val="555555"/>
          <w:sz w:val="18"/>
        </w:rPr>
        <w:t xml:space="preserve">Stand: 10.06.2019 (konsolidierte Textfassung, kein amtliches Inkrafttretensdatum)</w:t>
      </w:r>
    </w:p>
    <w:p>
      <w:r>
        <w:t xml:space="preserve">Der Abschlussprüfer hat über ausländische Zweigniederlassungen zu berichten. Dabei sind die Ergebniskomponenten dieser Zweigniederlassungen, deren Einfluss auf die Risikolage und die Risikovorsorge des Gesamtinstituts sowie deren Einbindung in das Risikomanagement des Gesamtinstituts zu beurteilen.</w:t>
      </w:r>
    </w:p>
    <w:p>
      <w:r>
        <w:rPr>
          <w:color w:val="555555"/>
          <w:sz w:val="17"/>
        </w:rPr>
        <w:t xml:space="preserve">Zitiervorschlag: § 9 ZahlPrüfbV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https://recht.nulegal.eu/gesetze/ZahlPr%C3%BCfbV/9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