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ZahlPrüfbV — Beurteilung der Vermögenslage</w:t>
      </w:r>
    </w:p>
    <w:p>
      <w:r>
        <w:rPr>
          <w:color w:val="555555"/>
          <w:sz w:val="18"/>
        </w:rPr>
        <w:t xml:space="preserve">Zahlungsinstituts-Prüfungsberichtsverordnung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Entwicklung der Vermögenslage ist zu beurteilen. Besonderheiten, die für die Beurteilung der Vermögenslage von Bedeutung sind, insbesondere Art und Umfang bilanzunwirksamer Ansprüche und Verpflichtungen, sind hervorzuheben.</w:t>
      </w:r>
    </w:p>
    <w:p>
      <w:r>
        <w:t xml:space="preserve">(2) Die Berichterstattung hat sich auch zu erstrecken auf</w:t>
      </w:r>
    </w:p>
    <w:p>
      <w:pPr>
        <w:ind w:left="420"/>
      </w:pPr>
      <w:r>
        <w:t xml:space="preserve">1. Art und Umfang stiller Reserven und stiller Lasten,</w:t>
      </w:r>
    </w:p>
    <w:p>
      <w:pPr>
        <w:ind w:left="420"/>
      </w:pPr>
      <w:r>
        <w:t xml:space="preserve">2. bedeutende Verträge und schwebende Rechtsstreitigkeiten, soweit sich nachteilige Auswirkungen auf die Vermögenslage ergeben könnten, und die Bildung der notwendigen Rückstellungen,</w:t>
      </w:r>
    </w:p>
    <w:p>
      <w:pPr>
        <w:ind w:left="420"/>
      </w:pPr>
      <w:r>
        <w:t xml:space="preserve">3. alle abgegebenen Patronatserklärungen unter Darstellung des Inhalts und Beurteilung ihrer Rechtsverbindlichkeit.</w:t>
      </w:r>
    </w:p>
    <w:p>
      <w:r>
        <w:rPr>
          <w:color w:val="555555"/>
          <w:sz w:val="17"/>
        </w:rPr>
        <w:t xml:space="preserve">Zitiervorschlag: § 19 ZahlPrüfbV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https://recht.nulegal.eu/gesetze/ZahlPr%C3%BCfbV/19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