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ZahlPrüfbV — Berichterstattung über Zahlungsdienste und das E-Geld-Geschäft</w:t>
      </w:r>
    </w:p>
    <w:p>
      <w:r>
        <w:rPr>
          <w:color w:val="555555"/>
          <w:sz w:val="18"/>
        </w:rPr>
        <w:t xml:space="preserve">Zahlungsinstituts-Prüfungsberichtsverordnung</w:t>
      </w:r>
    </w:p>
    <w:p>
      <w:r>
        <w:rPr>
          <w:color w:val="555555"/>
          <w:sz w:val="18"/>
        </w:rPr>
        <w:t xml:space="preserve">Stand: 10.06.2019 (konsolidierte Textfassung, kein amtliches Inkrafttretensdatum)</w:t>
      </w:r>
    </w:p>
    <w:p>
      <w:r>
        <w:t xml:space="preserve">(1) Die Zahlungsdienstleister, über die die Zahlungsdienste und das E-Geld-Geschäft abgewickelt werden, sind unter Angabe der Kontoverbindung aufzuführen. Die Teilnahme an Zahlungssystemen ist darzustellen.</w:t>
      </w:r>
    </w:p>
    <w:p>
      <w:r>
        <w:t xml:space="preserve">(2) Die Absicherung der Kundengelder nach Maßgabe der §§ 17 und 18 des Zahlungsdiensteaufsichtsgesetzes ist darzustellen und ihre Wirksamkeit zu beurteilen. Dabei ist insbesondere auf die Art und Ausgestaltung der Sicherung der Kundengelder nach den Methoden 1 oder 2 näher einzugehen.</w:t>
      </w:r>
    </w:p>
    <w:p>
      <w:r>
        <w:t xml:space="preserve">(3) Die Herkunft der Mittel für die Kreditvergabe ist darzustellen. Die Laufzeit der Kredite ist anzugeben. Dabei ist auch darauf einzugehen, ob Prolongationen stattgefunden haben.</w:t>
      </w:r>
    </w:p>
    <w:p>
      <w:r>
        <w:rPr>
          <w:color w:val="555555"/>
          <w:sz w:val="17"/>
        </w:rPr>
        <w:t xml:space="preserve">Zitiervorschlag: § 17 ZahlPrüfbV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https://recht.nulegal.eu/gesetze/ZahlPr%C3%BCfbV/17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