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ZahlPrüfbV — Solvabilitätskennzahl</w:t>
      </w:r>
    </w:p>
    <w:p>
      <w:r>
        <w:rPr>
          <w:color w:val="555555"/>
          <w:sz w:val="18"/>
        </w:rPr>
        <w:t xml:space="preserve">Zahlungsinstituts-Prüfungsberichtsverordnung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zu beurteilen, ob die vom Institut getroffenen Vorkehrungen zur ordnungsgemäßen Ermittlung der Solvabilitätskennzahl nach der ZAG-Instituts-Eigenmittelverordnung angemessen sind. Dabei ist insbesondere auf Änderungen gegenüber dem letzten Berichtszeitraum einzugehen. Die Entwicklung der Eigenmittelquote ist darzustellen.</w:t>
      </w:r>
    </w:p>
    <w:p>
      <w:r>
        <w:rPr>
          <w:color w:val="555555"/>
          <w:sz w:val="17"/>
        </w:rPr>
        <w:t xml:space="preserve">Zitiervorschlag: § 13 ZahlPrüfbV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https://recht.nulegal.eu/gesetze/ZahlPr%C3%BCfbV/13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ZahlPrüfbV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