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ZahlPrüfbV — Anwendungsbereich</w:t>
      </w:r>
    </w:p>
    <w:p>
      <w:r>
        <w:rPr>
          <w:color w:val="555555"/>
          <w:sz w:val="18"/>
        </w:rPr>
        <w:t xml:space="preserve">Zahlungsinstituts-Prüfungsberichtsverordnung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regelt</w:t>
      </w:r>
    </w:p>
    <w:p>
      <w:pPr>
        <w:ind w:left="420"/>
      </w:pPr>
      <w:r>
        <w:t xml:space="preserve">1. Gegenstand und Zeitpunkt der Prüfung der Institute nach § 24 Absatz 1 des Zahlungsdiensteaufsichtsgesetzes sowie</w:t>
      </w:r>
    </w:p>
    <w:p>
      <w:pPr>
        <w:ind w:left="420"/>
      </w:pPr>
      <w:r>
        <w:t xml:space="preserve">2. den Inhalt der Prüfungsberichte.</w:t>
      </w:r>
    </w:p>
    <w:p>
      <w:r>
        <w:t xml:space="preserve">(2) Diese Verordnung ist anzuwenden auf Institute im Sinne des § 1 Absatz 3 des Zahlungsdiensteaufsichtsgesetzes. Auf Institute, die auch Kreditinstitute im Sinne des § 1 Absatz 1 des Kreditwesengesetzes sind, ist diese Verordnung nur insoweit anzuwenden, als sie Anforderungen enthält, die über die Prüfungsberichtsverordnung hinausgehen; über das Ergebnis der Prüfung ist ein einheitlicher Prüfungsbericht zu erstellen.</w:t>
      </w:r>
    </w:p>
    <w:p>
      <w:r>
        <w:rPr>
          <w:color w:val="555555"/>
          <w:sz w:val="17"/>
        </w:rPr>
        <w:t xml:space="preserve">Zitiervorschlag: § 1 ZahlPrüfbV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https://recht.nulegal.eu/gesetze/ZahlPr%C3%BCfbV/1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