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ZZulV 1998 — Zusatzstoffe für Säuglings- und Kleinkindernahrung</w:t>
      </w:r>
    </w:p>
    <w:p>
      <w:r>
        <w:rPr>
          <w:color w:val="555555"/>
          <w:sz w:val="18"/>
        </w:rPr>
        <w:t xml:space="preserve">Zusatzstoff-Zulassungsverordnung</w:t>
      </w:r>
    </w:p>
    <w:p>
      <w:r>
        <w:rPr>
          <w:color w:val="555555"/>
          <w:sz w:val="18"/>
        </w:rPr>
        <w:t xml:space="preserve">Historische Fassung: Stand 10.06.2019 bis 09.06.2021. Dies ist nicht die aktuelle Fassung.</w:t>
      </w:r>
    </w:p>
    <w:p>
      <w:r>
        <w:t xml:space="preserve">Die in Anlage 6 aufgeführten Zusatzstoffe sind für die dort genannten Lebensmittel zu den in Anlage 7 angegebenen technologischen Zwecken zugelassen.</w:t>
      </w:r>
    </w:p>
    <w:p>
      <w:r>
        <w:rPr>
          <w:color w:val="555555"/>
          <w:sz w:val="17"/>
        </w:rPr>
        <w:t xml:space="preserve">Zitiervorschlag: § 6 ZZulV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https://recht.nulegal.eu/gesetze/ZZulV%201998/6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