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ZVsG — Abrechnung der Aufwendungen</w:t>
      </w:r>
    </w:p>
    <w:p>
      <w:r>
        <w:rPr>
          <w:color w:val="555555"/>
          <w:sz w:val="18"/>
        </w:rPr>
        <w:t xml:space="preserve">Zusatzversorgungssystem-Gleichstellungsgesetz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Aufwendung zu Lasten der Deutschen Rentenversicherung Bund im Sinne des § 15 Abs. 1 des Anspruchs- und Anwartschaftsüberführungsgesetzes ist der aus persönlichen Entgeltpunkten für Zeiten der Zugehörigkeit zum Pensionsstatut errechnete Monatsteilbetrag der Rente, der aufgrund der Gleichstellung der Ansprüche oder Anwartschaften zu zahlen ist.</w:t>
      </w:r>
    </w:p>
    <w:p>
      <w:r>
        <w:t xml:space="preserve">(2) Das Bundesamt für Soziale Sicherung stellt die Aufwendungen fest. § 15 Abs. 2 und 3 des Anspruchs- und Anwartschaftsüberführungsgesetzes ist nicht anzuwenden.</w:t>
      </w:r>
    </w:p>
    <w:p>
      <w:r>
        <w:t xml:space="preserve">(3) Auf die jährlichen Erstattungsbeträge leistet der Bund jeweils zum Postzahltermin monatliche Vorschüsse. Das Bundesamt für Soziale Sicherung setzt die Vorschüsse fest.</w:t>
      </w:r>
    </w:p>
    <w:p>
      <w:r>
        <w:rPr>
          <w:color w:val="555555"/>
          <w:sz w:val="17"/>
        </w:rPr>
        <w:t xml:space="preserve">Zitiervorschlag: § 8 ZVsG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